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931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8"/>
        <w:gridCol w:w="675"/>
        <w:gridCol w:w="615"/>
        <w:gridCol w:w="660"/>
        <w:gridCol w:w="689"/>
        <w:gridCol w:w="474"/>
        <w:gridCol w:w="592"/>
        <w:gridCol w:w="480"/>
        <w:gridCol w:w="357"/>
        <w:gridCol w:w="528"/>
        <w:gridCol w:w="285"/>
        <w:gridCol w:w="225"/>
        <w:gridCol w:w="540"/>
        <w:gridCol w:w="465"/>
        <w:gridCol w:w="465"/>
        <w:gridCol w:w="477"/>
        <w:gridCol w:w="18"/>
        <w:gridCol w:w="553"/>
        <w:gridCol w:w="6"/>
        <w:gridCol w:w="572"/>
        <w:gridCol w:w="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9304" w:type="dxa"/>
            <w:gridSpan w:val="2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44"/>
                <w:szCs w:val="44"/>
                <w:lang w:val="en-US" w:eastAsia="zh-CN"/>
              </w:rPr>
              <w:t>2021抚顺市社会福利保障中心</w:t>
            </w:r>
            <w:r>
              <w:rPr>
                <w:rFonts w:hint="eastAsia"/>
                <w:b/>
                <w:bCs/>
                <w:color w:val="000000"/>
                <w:sz w:val="44"/>
                <w:szCs w:val="44"/>
              </w:rPr>
              <w:t>整体绩效自评表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9304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19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部门（单位）名称</w:t>
            </w:r>
          </w:p>
        </w:tc>
        <w:tc>
          <w:tcPr>
            <w:tcW w:w="738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抚顺市社会福利保障中心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19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部门（单位）</w:t>
            </w:r>
          </w:p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财政供养人员数量</w:t>
            </w:r>
          </w:p>
        </w:tc>
        <w:tc>
          <w:tcPr>
            <w:tcW w:w="48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143</w:t>
            </w: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所属单位数量（仅部门填列）</w:t>
            </w:r>
          </w:p>
        </w:tc>
        <w:tc>
          <w:tcPr>
            <w:tcW w:w="11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6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2021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抚顺市社会福利保障中心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整体收支情况               （万元）</w:t>
            </w:r>
          </w:p>
        </w:tc>
        <w:tc>
          <w:tcPr>
            <w:tcW w:w="45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名 称</w:t>
            </w:r>
          </w:p>
        </w:tc>
        <w:tc>
          <w:tcPr>
            <w:tcW w:w="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年初</w:t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预算数</w:t>
            </w: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全年</w:t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预算数</w:t>
            </w: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全年</w:t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执行数</w:t>
            </w:r>
          </w:p>
        </w:tc>
        <w:tc>
          <w:tcPr>
            <w:tcW w:w="11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执行率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5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年度部门预算收入小计（1至7项）</w:t>
            </w:r>
          </w:p>
        </w:tc>
        <w:tc>
          <w:tcPr>
            <w:tcW w:w="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4473.4</w:t>
            </w: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4473.4</w:t>
            </w: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1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5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1.财政拨款收入</w:t>
            </w:r>
          </w:p>
        </w:tc>
        <w:tc>
          <w:tcPr>
            <w:tcW w:w="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1489.44</w:t>
            </w: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1489.44</w:t>
            </w: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1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5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2.中央提前告知转移支付资金</w:t>
            </w:r>
          </w:p>
        </w:tc>
        <w:tc>
          <w:tcPr>
            <w:tcW w:w="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427</w:t>
            </w: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427</w:t>
            </w: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1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5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3.纳入预算管理的行政事业性收费等非税收入</w:t>
            </w:r>
          </w:p>
        </w:tc>
        <w:tc>
          <w:tcPr>
            <w:tcW w:w="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1686.72</w:t>
            </w: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1686.72</w:t>
            </w: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1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5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4.纳入政府性基金预算管理收入</w:t>
            </w:r>
          </w:p>
        </w:tc>
        <w:tc>
          <w:tcPr>
            <w:tcW w:w="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870.24</w:t>
            </w: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870.24</w:t>
            </w: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1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5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pacing w:val="-8"/>
                <w:kern w:val="0"/>
                <w:szCs w:val="21"/>
              </w:rPr>
              <w:t>5.纳入专户管理的行政事业性收费等非税收入</w:t>
            </w:r>
          </w:p>
        </w:tc>
        <w:tc>
          <w:tcPr>
            <w:tcW w:w="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1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5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6.上年结转</w:t>
            </w:r>
          </w:p>
        </w:tc>
        <w:tc>
          <w:tcPr>
            <w:tcW w:w="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1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5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7.其他收入</w:t>
            </w:r>
          </w:p>
        </w:tc>
        <w:tc>
          <w:tcPr>
            <w:tcW w:w="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1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5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年度部门预算支出小计（一+二）</w:t>
            </w:r>
          </w:p>
        </w:tc>
        <w:tc>
          <w:tcPr>
            <w:tcW w:w="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4473.4</w:t>
            </w: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4473.4</w:t>
            </w: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3984.95</w:t>
            </w:r>
          </w:p>
        </w:tc>
        <w:tc>
          <w:tcPr>
            <w:tcW w:w="11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90%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5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一、基本支出（第1至4项小计）</w:t>
            </w:r>
          </w:p>
        </w:tc>
        <w:tc>
          <w:tcPr>
            <w:tcW w:w="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3173.06</w:t>
            </w: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3173.06</w:t>
            </w: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3071.97</w:t>
            </w:r>
          </w:p>
        </w:tc>
        <w:tc>
          <w:tcPr>
            <w:tcW w:w="11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97%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5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1.工资福利支出</w:t>
            </w:r>
          </w:p>
        </w:tc>
        <w:tc>
          <w:tcPr>
            <w:tcW w:w="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1978.94</w:t>
            </w: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1978.94</w:t>
            </w: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1906.33</w:t>
            </w:r>
          </w:p>
        </w:tc>
        <w:tc>
          <w:tcPr>
            <w:tcW w:w="11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96%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5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2.商品和服务支出</w:t>
            </w:r>
          </w:p>
        </w:tc>
        <w:tc>
          <w:tcPr>
            <w:tcW w:w="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1141.92</w:t>
            </w: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1141.92</w:t>
            </w: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1113.44</w:t>
            </w:r>
          </w:p>
        </w:tc>
        <w:tc>
          <w:tcPr>
            <w:tcW w:w="11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98%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5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3.对个人和家庭的补助</w:t>
            </w:r>
          </w:p>
        </w:tc>
        <w:tc>
          <w:tcPr>
            <w:tcW w:w="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52.2</w:t>
            </w: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52.2</w:t>
            </w: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52.2</w:t>
            </w:r>
          </w:p>
        </w:tc>
        <w:tc>
          <w:tcPr>
            <w:tcW w:w="11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52" w:hRule="atLeast"/>
          <w:jc w:val="center"/>
        </w:trPr>
        <w:tc>
          <w:tcPr>
            <w:tcW w:w="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5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4.资本性支出</w:t>
            </w:r>
          </w:p>
        </w:tc>
        <w:tc>
          <w:tcPr>
            <w:tcW w:w="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5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二、项目支出（第1至2项小计）</w:t>
            </w:r>
          </w:p>
        </w:tc>
        <w:tc>
          <w:tcPr>
            <w:tcW w:w="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1300.34</w:t>
            </w: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1300.34</w:t>
            </w: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912.98</w:t>
            </w:r>
          </w:p>
        </w:tc>
        <w:tc>
          <w:tcPr>
            <w:tcW w:w="11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70%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5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1.履职保障类（部门经费类）项目支出</w:t>
            </w:r>
          </w:p>
        </w:tc>
        <w:tc>
          <w:tcPr>
            <w:tcW w:w="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827.07</w:t>
            </w: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827.07</w:t>
            </w: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468.71</w:t>
            </w:r>
          </w:p>
        </w:tc>
        <w:tc>
          <w:tcPr>
            <w:tcW w:w="11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57%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506" w:hRule="atLeast"/>
          <w:jc w:val="center"/>
        </w:trPr>
        <w:tc>
          <w:tcPr>
            <w:tcW w:w="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5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2.事业发展类（专项资金类）项目支出</w:t>
            </w:r>
          </w:p>
        </w:tc>
        <w:tc>
          <w:tcPr>
            <w:tcW w:w="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473.27</w:t>
            </w: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473.27</w:t>
            </w: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444.27</w:t>
            </w:r>
          </w:p>
        </w:tc>
        <w:tc>
          <w:tcPr>
            <w:tcW w:w="11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94%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6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年度主要任务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工作名称</w:t>
            </w:r>
          </w:p>
        </w:tc>
        <w:tc>
          <w:tcPr>
            <w:tcW w:w="32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对应项目</w:t>
            </w:r>
          </w:p>
        </w:tc>
        <w:tc>
          <w:tcPr>
            <w:tcW w:w="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年初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预算数</w:t>
            </w: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全年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预算数</w:t>
            </w: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全年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执行数</w:t>
            </w:r>
          </w:p>
        </w:tc>
        <w:tc>
          <w:tcPr>
            <w:tcW w:w="11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执行率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重点工作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一</w:t>
            </w:r>
          </w:p>
        </w:tc>
        <w:tc>
          <w:tcPr>
            <w:tcW w:w="32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光荣部老人生活补助</w:t>
            </w:r>
          </w:p>
        </w:tc>
        <w:tc>
          <w:tcPr>
            <w:tcW w:w="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16.27</w:t>
            </w: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16.27</w:t>
            </w: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16.27</w:t>
            </w:r>
          </w:p>
        </w:tc>
        <w:tc>
          <w:tcPr>
            <w:tcW w:w="11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重点工作二</w:t>
            </w:r>
          </w:p>
        </w:tc>
        <w:tc>
          <w:tcPr>
            <w:tcW w:w="32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关于提前下达2021年困难群众救助补助资金预算的通知（孤儿基本生活保障）</w:t>
            </w:r>
          </w:p>
        </w:tc>
        <w:tc>
          <w:tcPr>
            <w:tcW w:w="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27</w:t>
            </w: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27</w:t>
            </w: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27</w:t>
            </w:r>
          </w:p>
        </w:tc>
        <w:tc>
          <w:tcPr>
            <w:tcW w:w="11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重点工作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三</w:t>
            </w:r>
          </w:p>
        </w:tc>
        <w:tc>
          <w:tcPr>
            <w:tcW w:w="32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福利院精神病养员生活补助</w:t>
            </w:r>
          </w:p>
        </w:tc>
        <w:tc>
          <w:tcPr>
            <w:tcW w:w="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8.85</w:t>
            </w: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8.85</w:t>
            </w: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8.85</w:t>
            </w:r>
          </w:p>
        </w:tc>
        <w:tc>
          <w:tcPr>
            <w:tcW w:w="11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重点工作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四</w:t>
            </w:r>
          </w:p>
        </w:tc>
        <w:tc>
          <w:tcPr>
            <w:tcW w:w="32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殡仪馆特种车辆费用</w:t>
            </w:r>
          </w:p>
        </w:tc>
        <w:tc>
          <w:tcPr>
            <w:tcW w:w="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98</w:t>
            </w: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98</w:t>
            </w: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98</w:t>
            </w:r>
          </w:p>
        </w:tc>
        <w:tc>
          <w:tcPr>
            <w:tcW w:w="11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重点工作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五</w:t>
            </w:r>
          </w:p>
        </w:tc>
        <w:tc>
          <w:tcPr>
            <w:tcW w:w="32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殡仪馆运行保障</w:t>
            </w:r>
          </w:p>
        </w:tc>
        <w:tc>
          <w:tcPr>
            <w:tcW w:w="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105.09</w:t>
            </w: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105.09</w:t>
            </w: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105.09</w:t>
            </w:r>
          </w:p>
        </w:tc>
        <w:tc>
          <w:tcPr>
            <w:tcW w:w="11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重点工作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六</w:t>
            </w:r>
          </w:p>
        </w:tc>
        <w:tc>
          <w:tcPr>
            <w:tcW w:w="32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殡仪馆火化柴油</w:t>
            </w:r>
          </w:p>
        </w:tc>
        <w:tc>
          <w:tcPr>
            <w:tcW w:w="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106</w:t>
            </w: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106</w:t>
            </w: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106</w:t>
            </w:r>
          </w:p>
        </w:tc>
        <w:tc>
          <w:tcPr>
            <w:tcW w:w="11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重点工作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七</w:t>
            </w:r>
          </w:p>
        </w:tc>
        <w:tc>
          <w:tcPr>
            <w:tcW w:w="32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救助人员专项经费</w:t>
            </w:r>
          </w:p>
        </w:tc>
        <w:tc>
          <w:tcPr>
            <w:tcW w:w="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8.2</w:t>
            </w: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8.2</w:t>
            </w: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5.76</w:t>
            </w:r>
          </w:p>
        </w:tc>
        <w:tc>
          <w:tcPr>
            <w:tcW w:w="11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70%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重点工作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八</w:t>
            </w:r>
          </w:p>
        </w:tc>
        <w:tc>
          <w:tcPr>
            <w:tcW w:w="32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福利院医疗垃圾处理费</w:t>
            </w:r>
          </w:p>
        </w:tc>
        <w:tc>
          <w:tcPr>
            <w:tcW w:w="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1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60%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重点工作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九</w:t>
            </w:r>
          </w:p>
        </w:tc>
        <w:tc>
          <w:tcPr>
            <w:tcW w:w="32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康复中心运行专项经费</w:t>
            </w:r>
          </w:p>
        </w:tc>
        <w:tc>
          <w:tcPr>
            <w:tcW w:w="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56</w:t>
            </w: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56</w:t>
            </w: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55.27</w:t>
            </w:r>
          </w:p>
        </w:tc>
        <w:tc>
          <w:tcPr>
            <w:tcW w:w="11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99%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重点工作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十</w:t>
            </w:r>
          </w:p>
        </w:tc>
        <w:tc>
          <w:tcPr>
            <w:tcW w:w="32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残疾人辅具器具专项资金</w:t>
            </w:r>
          </w:p>
        </w:tc>
        <w:tc>
          <w:tcPr>
            <w:tcW w:w="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30</w:t>
            </w: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30</w:t>
            </w: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30</w:t>
            </w:r>
          </w:p>
        </w:tc>
        <w:tc>
          <w:tcPr>
            <w:tcW w:w="11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重点工作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十一</w:t>
            </w:r>
          </w:p>
        </w:tc>
        <w:tc>
          <w:tcPr>
            <w:tcW w:w="32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关于提前下达2021年困难群众救助补助资金预算的通知（流浪乞讨人员救助）</w:t>
            </w:r>
          </w:p>
        </w:tc>
        <w:tc>
          <w:tcPr>
            <w:tcW w:w="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200</w:t>
            </w: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200</w:t>
            </w: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171</w:t>
            </w:r>
          </w:p>
        </w:tc>
        <w:tc>
          <w:tcPr>
            <w:tcW w:w="11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86%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重点工作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十二</w:t>
            </w:r>
          </w:p>
        </w:tc>
        <w:tc>
          <w:tcPr>
            <w:tcW w:w="32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关于提前下达2021年困难群众救助补助资金预算的通知(特困人员救助供养)</w:t>
            </w:r>
          </w:p>
        </w:tc>
        <w:tc>
          <w:tcPr>
            <w:tcW w:w="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200</w:t>
            </w: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200</w:t>
            </w: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200</w:t>
            </w:r>
          </w:p>
        </w:tc>
        <w:tc>
          <w:tcPr>
            <w:tcW w:w="11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重点工作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十三</w:t>
            </w:r>
          </w:p>
        </w:tc>
        <w:tc>
          <w:tcPr>
            <w:tcW w:w="32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彩票销售系统运行维护费</w:t>
            </w:r>
          </w:p>
        </w:tc>
        <w:tc>
          <w:tcPr>
            <w:tcW w:w="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19.23</w:t>
            </w: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19.23</w:t>
            </w: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8.66</w:t>
            </w:r>
          </w:p>
        </w:tc>
        <w:tc>
          <w:tcPr>
            <w:tcW w:w="11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45.03%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重点工作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十四</w:t>
            </w:r>
          </w:p>
        </w:tc>
        <w:tc>
          <w:tcPr>
            <w:tcW w:w="32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福彩投注站形象建设</w:t>
            </w:r>
          </w:p>
        </w:tc>
        <w:tc>
          <w:tcPr>
            <w:tcW w:w="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38</w:t>
            </w: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38</w:t>
            </w: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19.39</w:t>
            </w:r>
          </w:p>
        </w:tc>
        <w:tc>
          <w:tcPr>
            <w:tcW w:w="11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51.03%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重点工作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十五</w:t>
            </w:r>
          </w:p>
        </w:tc>
        <w:tc>
          <w:tcPr>
            <w:tcW w:w="32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福彩广告费</w:t>
            </w:r>
          </w:p>
        </w:tc>
        <w:tc>
          <w:tcPr>
            <w:tcW w:w="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60.5</w:t>
            </w: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60.5</w:t>
            </w: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1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重点工作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十六</w:t>
            </w:r>
          </w:p>
        </w:tc>
        <w:tc>
          <w:tcPr>
            <w:tcW w:w="32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福彩工具车运行费</w:t>
            </w:r>
          </w:p>
        </w:tc>
        <w:tc>
          <w:tcPr>
            <w:tcW w:w="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24</w:t>
            </w: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24</w:t>
            </w: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11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54.16%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重点工作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十七</w:t>
            </w:r>
          </w:p>
        </w:tc>
        <w:tc>
          <w:tcPr>
            <w:tcW w:w="32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福彩市场营销费</w:t>
            </w:r>
          </w:p>
        </w:tc>
        <w:tc>
          <w:tcPr>
            <w:tcW w:w="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194.8</w:t>
            </w: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194.8</w:t>
            </w: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1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重点工作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十八</w:t>
            </w:r>
          </w:p>
        </w:tc>
        <w:tc>
          <w:tcPr>
            <w:tcW w:w="32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福彩业务专项</w:t>
            </w:r>
          </w:p>
        </w:tc>
        <w:tc>
          <w:tcPr>
            <w:tcW w:w="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56.5</w:t>
            </w: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56.5</w:t>
            </w: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28.1</w:t>
            </w:r>
          </w:p>
        </w:tc>
        <w:tc>
          <w:tcPr>
            <w:tcW w:w="11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49.73%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重点工作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十九</w:t>
            </w:r>
          </w:p>
        </w:tc>
        <w:tc>
          <w:tcPr>
            <w:tcW w:w="32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福彩市场宣传推广费</w:t>
            </w:r>
          </w:p>
        </w:tc>
        <w:tc>
          <w:tcPr>
            <w:tcW w:w="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46.9</w:t>
            </w: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46.9</w:t>
            </w: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17.59</w:t>
            </w:r>
          </w:p>
        </w:tc>
        <w:tc>
          <w:tcPr>
            <w:tcW w:w="11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37.5%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合计</w:t>
            </w:r>
          </w:p>
        </w:tc>
        <w:tc>
          <w:tcPr>
            <w:tcW w:w="32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1300.34</w:t>
            </w: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1300.34</w:t>
            </w: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912.98</w:t>
            </w:r>
          </w:p>
        </w:tc>
        <w:tc>
          <w:tcPr>
            <w:tcW w:w="11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70%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94" w:hRule="atLeast"/>
          <w:jc w:val="center"/>
        </w:trPr>
        <w:tc>
          <w:tcPr>
            <w:tcW w:w="6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年度绩效目标　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年初设定</w:t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目标</w:t>
            </w:r>
          </w:p>
        </w:tc>
        <w:tc>
          <w:tcPr>
            <w:tcW w:w="738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全年完成情况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39" w:hRule="atLeast"/>
          <w:jc w:val="center"/>
        </w:trPr>
        <w:tc>
          <w:tcPr>
            <w:tcW w:w="6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目标1：</w:t>
            </w:r>
          </w:p>
        </w:tc>
        <w:tc>
          <w:tcPr>
            <w:tcW w:w="738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对生活无着流浪乞讨人员进行救助，救助率达到100%；对生活无着流浪乞讨人员进行站内救治，救治率100%；对生活无着流浪乞讨人员提供护送返乡服务，护送返乡率100%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39" w:hRule="atLeast"/>
          <w:jc w:val="center"/>
        </w:trPr>
        <w:tc>
          <w:tcPr>
            <w:tcW w:w="6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目标2：</w:t>
            </w:r>
          </w:p>
        </w:tc>
        <w:tc>
          <w:tcPr>
            <w:tcW w:w="738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福彩“快乐8”游戏玩法上市保障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39" w:hRule="atLeast"/>
          <w:jc w:val="center"/>
        </w:trPr>
        <w:tc>
          <w:tcPr>
            <w:tcW w:w="6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目标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738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对低保户、五保户、三无人员等符合政策人员减免丧葬费用，办结率达100%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39" w:hRule="atLeast"/>
          <w:jc w:val="center"/>
        </w:trPr>
        <w:tc>
          <w:tcPr>
            <w:tcW w:w="6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目标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738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残疾儿童免费康复救助年龄上限由7周岁提升至8周岁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39" w:hRule="atLeast"/>
          <w:jc w:val="center"/>
        </w:trPr>
        <w:tc>
          <w:tcPr>
            <w:tcW w:w="6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目标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738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预决算已公开。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9304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分解目标评价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809" w:hRule="atLeast"/>
          <w:jc w:val="center"/>
        </w:trPr>
        <w:tc>
          <w:tcPr>
            <w:tcW w:w="6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一级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指标</w:t>
            </w:r>
          </w:p>
        </w:tc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二级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指标</w:t>
            </w:r>
          </w:p>
        </w:tc>
        <w:tc>
          <w:tcPr>
            <w:tcW w:w="6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三级</w:t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指标</w:t>
            </w:r>
          </w:p>
        </w:tc>
        <w:tc>
          <w:tcPr>
            <w:tcW w:w="18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年度</w:t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指标值</w:t>
            </w:r>
          </w:p>
        </w:tc>
        <w:tc>
          <w:tcPr>
            <w:tcW w:w="5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全年完成值</w:t>
            </w:r>
          </w:p>
        </w:tc>
        <w:tc>
          <w:tcPr>
            <w:tcW w:w="4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完成</w:t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程度</w:t>
            </w:r>
          </w:p>
        </w:tc>
        <w:tc>
          <w:tcPr>
            <w:tcW w:w="3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分值</w:t>
            </w:r>
          </w:p>
        </w:tc>
        <w:tc>
          <w:tcPr>
            <w:tcW w:w="5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得分</w:t>
            </w:r>
          </w:p>
        </w:tc>
        <w:tc>
          <w:tcPr>
            <w:tcW w:w="30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未完成原因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（请在相应选项下划“√”并在原因说明中分项阐述）</w:t>
            </w:r>
          </w:p>
        </w:tc>
        <w:tc>
          <w:tcPr>
            <w:tcW w:w="57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改进措施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809" w:hRule="atLeast"/>
          <w:jc w:val="center"/>
        </w:trPr>
        <w:tc>
          <w:tcPr>
            <w:tcW w:w="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运算符号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内容</w:t>
            </w: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度量单位</w:t>
            </w:r>
          </w:p>
        </w:tc>
        <w:tc>
          <w:tcPr>
            <w:tcW w:w="5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经费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保障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保障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人员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保障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硬件条件保障</w:t>
            </w: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原因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说明</w:t>
            </w:r>
          </w:p>
        </w:tc>
        <w:tc>
          <w:tcPr>
            <w:tcW w:w="57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履职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效能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重点工作履行情况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6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“=”“≤”“≥”“＜”“＞”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>
            <w:pPr>
              <w:jc w:val="both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重点工作办结率</w:t>
            </w: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%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100%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100%</w:t>
            </w: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整体工作完成情况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总体工作完成率</w:t>
            </w: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%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100%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100%</w:t>
            </w: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工作完成及时率</w:t>
            </w: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%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100%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100%</w:t>
            </w: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基础管理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综合管理水平</w:t>
            </w: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%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100%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100%</w:t>
            </w: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预算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执行</w:t>
            </w:r>
          </w:p>
        </w:tc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预算执行效率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预算执行率</w:t>
            </w: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%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90%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90%</w:t>
            </w: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6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管理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效率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预算编制管理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预算绩效目标覆盖率</w:t>
            </w: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%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100%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100%</w:t>
            </w: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预算监督管理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预决算公开情况</w:t>
            </w: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%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100%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100%</w:t>
            </w: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6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运行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成本</w:t>
            </w:r>
          </w:p>
        </w:tc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成本控制成效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三公经费变动率</w:t>
            </w: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%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100%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100%</w:t>
            </w: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6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社会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效应</w:t>
            </w:r>
          </w:p>
        </w:tc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服务对象满意度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服务对象满意度</w:t>
            </w: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%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100%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100%</w:t>
            </w: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6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可持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续性</w:t>
            </w:r>
          </w:p>
        </w:tc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szCs w:val="21"/>
              </w:rPr>
              <w:t>体制机制改革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完善各项制度工作</w:t>
            </w: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%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100%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100%</w:t>
            </w: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szCs w:val="21"/>
              </w:rPr>
              <w:t>创新驱动发展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48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总评价得分</w:t>
            </w:r>
          </w:p>
        </w:tc>
        <w:tc>
          <w:tcPr>
            <w:tcW w:w="449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99</w:t>
            </w:r>
          </w:p>
        </w:tc>
      </w:tr>
    </w:tbl>
    <w:p>
      <w:pPr>
        <w:spacing w:line="584" w:lineRule="exact"/>
        <w:rPr>
          <w:rFonts w:ascii="宋体" w:hAnsi="宋体" w:cs="宋体"/>
          <w:b/>
          <w:bCs/>
          <w:color w:val="000000"/>
          <w:sz w:val="44"/>
          <w:szCs w:val="4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liZGQzOTM2M2I2YWVmMzY4NjNhZWI4ZDU2OWU4ZDUifQ=="/>
  </w:docVars>
  <w:rsids>
    <w:rsidRoot w:val="006A5A68"/>
    <w:rsid w:val="000B40F6"/>
    <w:rsid w:val="00280D3A"/>
    <w:rsid w:val="00390214"/>
    <w:rsid w:val="003913B8"/>
    <w:rsid w:val="006A5A68"/>
    <w:rsid w:val="00751189"/>
    <w:rsid w:val="00821808"/>
    <w:rsid w:val="00B8742B"/>
    <w:rsid w:val="00BA6BA1"/>
    <w:rsid w:val="00BE64E2"/>
    <w:rsid w:val="00E46C72"/>
    <w:rsid w:val="00F045B0"/>
    <w:rsid w:val="1F1B4845"/>
    <w:rsid w:val="3976761E"/>
    <w:rsid w:val="6AB84C7D"/>
    <w:rsid w:val="6C431036"/>
    <w:rsid w:val="6F99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name="header"/>
    <w:lsdException w:qFormat="1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340" w:after="330" w:line="576" w:lineRule="auto"/>
      <w:outlineLvl w:val="0"/>
    </w:pPr>
    <w:rPr>
      <w:rFonts w:ascii="等线" w:eastAsia="等线" w:cs="Arial"/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4"/>
    <w:semiHidden/>
    <w:unhideWhenUsed/>
    <w:qFormat/>
    <w:uiPriority w:val="0"/>
    <w:pPr>
      <w:ind w:firstLine="645"/>
    </w:pPr>
    <w:rPr>
      <w:rFonts w:ascii="仿宋_GB2312" w:eastAsia="仿宋_GB2312"/>
      <w:sz w:val="32"/>
      <w:szCs w:val="32"/>
    </w:rPr>
  </w:style>
  <w:style w:type="paragraph" w:styleId="4">
    <w:name w:val="Balloon Text"/>
    <w:basedOn w:val="1"/>
    <w:link w:val="15"/>
    <w:semiHidden/>
    <w:unhideWhenUsed/>
    <w:qFormat/>
    <w:uiPriority w:val="0"/>
    <w:rPr>
      <w:sz w:val="18"/>
      <w:szCs w:val="18"/>
    </w:rPr>
  </w:style>
  <w:style w:type="paragraph" w:styleId="5">
    <w:name w:val="footer"/>
    <w:basedOn w:val="1"/>
    <w:link w:val="13"/>
    <w:semiHidden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2"/>
    <w:semiHidden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annotation reference"/>
    <w:basedOn w:val="9"/>
    <w:semiHidden/>
    <w:unhideWhenUsed/>
    <w:qFormat/>
    <w:uiPriority w:val="0"/>
    <w:rPr>
      <w:sz w:val="21"/>
      <w:szCs w:val="21"/>
    </w:rPr>
  </w:style>
  <w:style w:type="character" w:customStyle="1" w:styleId="11">
    <w:name w:val="标题 1 Char"/>
    <w:basedOn w:val="9"/>
    <w:link w:val="2"/>
    <w:qFormat/>
    <w:uiPriority w:val="0"/>
    <w:rPr>
      <w:rFonts w:ascii="等线" w:hAnsi="Times New Roman" w:eastAsia="等线" w:cs="Arial"/>
      <w:b/>
      <w:bCs/>
      <w:kern w:val="44"/>
      <w:sz w:val="44"/>
      <w:szCs w:val="44"/>
    </w:rPr>
  </w:style>
  <w:style w:type="character" w:customStyle="1" w:styleId="12">
    <w:name w:val="页眉 Char"/>
    <w:basedOn w:val="9"/>
    <w:link w:val="6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Char"/>
    <w:basedOn w:val="9"/>
    <w:link w:val="5"/>
    <w:semiHidden/>
    <w:qFormat/>
    <w:uiPriority w:val="0"/>
    <w:rPr>
      <w:rFonts w:ascii="Times New Roman" w:hAnsi="Times New Roman" w:eastAsia="宋体" w:cs="Times New Roman"/>
      <w:sz w:val="18"/>
      <w:szCs w:val="24"/>
    </w:rPr>
  </w:style>
  <w:style w:type="character" w:customStyle="1" w:styleId="14">
    <w:name w:val="正文文本缩进 Char"/>
    <w:basedOn w:val="9"/>
    <w:link w:val="3"/>
    <w:semiHidden/>
    <w:qFormat/>
    <w:uiPriority w:val="0"/>
    <w:rPr>
      <w:rFonts w:ascii="仿宋_GB2312" w:hAnsi="Times New Roman" w:eastAsia="仿宋_GB2312" w:cs="Times New Roman"/>
      <w:sz w:val="32"/>
      <w:szCs w:val="32"/>
    </w:rPr>
  </w:style>
  <w:style w:type="character" w:customStyle="1" w:styleId="15">
    <w:name w:val="批注框文本 Char"/>
    <w:basedOn w:val="9"/>
    <w:link w:val="4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6">
    <w:name w:val="正文 New New New New"/>
    <w:qFormat/>
    <w:uiPriority w:val="0"/>
    <w:pPr>
      <w:widowControl w:val="0"/>
      <w:jc w:val="both"/>
    </w:pPr>
    <w:rPr>
      <w:rFonts w:ascii="Times New Roman" w:hAnsi="Times New Roman" w:eastAsia="宋体" w:cs="黑体"/>
      <w:kern w:val="2"/>
      <w:sz w:val="21"/>
      <w:szCs w:val="22"/>
      <w:lang w:val="en-US" w:eastAsia="zh-CN" w:bidi="ar-SA"/>
    </w:rPr>
  </w:style>
  <w:style w:type="paragraph" w:customStyle="1" w:styleId="17">
    <w:name w:val="正文 New New New"/>
    <w:qFormat/>
    <w:uiPriority w:val="0"/>
    <w:pPr>
      <w:wordWrap w:val="0"/>
      <w:snapToGrid w:val="0"/>
      <w:spacing w:line="580" w:lineRule="atLeast"/>
      <w:ind w:firstLine="640"/>
      <w:jc w:val="both"/>
    </w:pPr>
    <w:rPr>
      <w:rFonts w:ascii="仿宋_GB2312" w:hAnsi="Arial" w:eastAsia="仿宋_GB2312" w:cs="Arial"/>
      <w:kern w:val="0"/>
      <w:sz w:val="28"/>
      <w:szCs w:val="28"/>
      <w:lang w:val="en-US" w:eastAsia="zh-CN" w:bidi="ar-SA"/>
    </w:rPr>
  </w:style>
  <w:style w:type="character" w:customStyle="1" w:styleId="18">
    <w:name w:val="font12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9">
    <w:name w:val="font111"/>
    <w:basedOn w:val="9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20">
    <w:name w:val="font11"/>
    <w:basedOn w:val="9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  <w:style w:type="character" w:customStyle="1" w:styleId="21">
    <w:name w:val="font31"/>
    <w:basedOn w:val="9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22">
    <w:name w:val="font61"/>
    <w:basedOn w:val="9"/>
    <w:qFormat/>
    <w:uiPriority w:val="0"/>
    <w:rPr>
      <w:rFonts w:hint="eastAsia" w:ascii="宋体" w:hAnsi="宋体" w:eastAsia="宋体" w:cs="宋体"/>
      <w:color w:val="000000"/>
      <w:sz w:val="14"/>
      <w:szCs w:val="1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3312</Words>
  <Characters>3921</Characters>
  <Lines>36</Lines>
  <Paragraphs>10</Paragraphs>
  <TotalTime>8</TotalTime>
  <ScaleCrop>false</ScaleCrop>
  <LinksUpToDate>false</LinksUpToDate>
  <CharactersWithSpaces>4380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2022-02-14T06:27:00Z</dcterms:created>
  <dc:creator>社会保障科-赵南</dc:creator>
  <cp:lastModifiedBy>冰淇淋夏天</cp:lastModifiedBy>
  <cp:lastPrinted>2022-03-04T06:40:00Z</cp:lastPrinted>
  <dcterms:modified xsi:type="dcterms:W3CDTF">2022-08-05T01:12:18Z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15F1FF8D57ED42A8B3F3AF369934C3B7</vt:lpwstr>
  </property>
</Properties>
</file>